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方正小标宋简体" w:eastAsia="方正小标宋简体"/>
          <w:kern w:val="0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方正小标宋简体" w:eastAsia="方正小标宋简体"/>
          <w:kern w:val="0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kern w:val="0"/>
          <w:sz w:val="44"/>
          <w:szCs w:val="44"/>
          <w:lang w:eastAsia="zh-CN"/>
        </w:rPr>
        <w:t>目录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方正小标宋简体" w:eastAsia="方正小标宋简体"/>
          <w:kern w:val="0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 xml:space="preserve">第一部分 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陇川县王子树乡人民政府2018</w:t>
      </w:r>
      <w:r>
        <w:rPr>
          <w:rFonts w:hint="eastAsia" w:ascii="黑体" w:hAnsi="黑体" w:eastAsia="黑体"/>
          <w:sz w:val="30"/>
          <w:szCs w:val="30"/>
        </w:rPr>
        <w:t>年部门预算编制说明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 xml:space="preserve">第二部分 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陇川县王子树乡人民政府2018</w:t>
      </w:r>
      <w:r>
        <w:rPr>
          <w:rFonts w:hint="eastAsia" w:ascii="黑体" w:hAnsi="黑体" w:eastAsia="黑体"/>
          <w:sz w:val="30"/>
          <w:szCs w:val="30"/>
        </w:rPr>
        <w:t>年部门预算表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一、部门财务收支总体情况表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二、部门收入总体情况表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三、部门支出总体情况表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四、部门财政拨款收支总体情况表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五、部门一般公共预算本级财力安排支出情况表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六、部门基本支出情况表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七、部门政府性基金预算支出情况表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八、财政拨款支出明细表（按经济科目分类）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九、部门一般公共预算“三公”经费支出情况表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十、部门国有资本经营支出预算表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十一、县本级项目支出绩效目标表（预算批复项目）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十二、部门政府采购情况表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十三、部门非税收入征收计划表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十四、部门重点工作情况解释说明汇总表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rPr>
          <w:rFonts w:hint="eastAsia" w:ascii="方正小标宋简体" w:eastAsia="方正小标宋简体"/>
          <w:kern w:val="0"/>
          <w:sz w:val="36"/>
          <w:szCs w:val="36"/>
        </w:rPr>
      </w:pPr>
      <w:r>
        <w:rPr>
          <w:rFonts w:hint="eastAsia" w:ascii="方正小标宋简体" w:eastAsia="方正小标宋简体"/>
          <w:kern w:val="0"/>
          <w:sz w:val="36"/>
          <w:szCs w:val="36"/>
          <w:lang w:eastAsia="zh-CN"/>
        </w:rPr>
        <w:t>陇川县王子树乡人民政府</w:t>
      </w:r>
      <w:r>
        <w:rPr>
          <w:rFonts w:hint="eastAsia" w:ascii="方正小标宋简体" w:eastAsia="方正小标宋简体"/>
          <w:kern w:val="0"/>
          <w:sz w:val="36"/>
          <w:szCs w:val="36"/>
          <w:lang w:val="en-US" w:eastAsia="zh-CN"/>
        </w:rPr>
        <w:t>2018</w:t>
      </w:r>
      <w:r>
        <w:rPr>
          <w:rFonts w:hint="eastAsia" w:ascii="方正小标宋简体" w:eastAsia="方正小标宋简体"/>
          <w:kern w:val="0"/>
          <w:sz w:val="36"/>
          <w:szCs w:val="36"/>
        </w:rPr>
        <w:t>年部门预算编制说明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hint="eastAsia" w:ascii="Times New Roman" w:hAnsi="Times New Roman" w:eastAsia="仿宋_GB2312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750" w:firstLineChars="250"/>
        <w:jc w:val="left"/>
        <w:textAlignment w:val="auto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一、基本职能及主要工作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ascii="楷体_GB2312" w:eastAsia="楷体_GB2312"/>
          <w:b/>
          <w:kern w:val="0"/>
          <w:sz w:val="30"/>
          <w:szCs w:val="30"/>
        </w:rPr>
      </w:pPr>
      <w:r>
        <w:rPr>
          <w:rFonts w:hint="eastAsia" w:ascii="楷体_GB2312" w:eastAsia="楷体_GB2312"/>
          <w:kern w:val="0"/>
          <w:sz w:val="30"/>
          <w:szCs w:val="30"/>
        </w:rPr>
        <w:t>（一）部门主要职责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乡政府是国家最基层的政权机关和最基本的独立行政单元，具有执行国家意志的义务和保一方平安的责任。肩负着对乡村社会管理职能，发展经济职能，公共服务职能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基层建设职能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和发展乡村经济促进人民富裕社会和谐的职责。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ascii="楷体_GB2312" w:eastAsia="楷体_GB2312"/>
          <w:kern w:val="0"/>
          <w:sz w:val="30"/>
          <w:szCs w:val="30"/>
        </w:rPr>
      </w:pPr>
      <w:r>
        <w:rPr>
          <w:rFonts w:hint="eastAsia" w:ascii="楷体_GB2312" w:eastAsia="楷体_GB2312"/>
          <w:kern w:val="0"/>
          <w:sz w:val="30"/>
          <w:szCs w:val="30"/>
        </w:rPr>
        <w:t>（二）机构设置情况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部门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在职人员编制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70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人，其中：行政编制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30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人，事业编制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40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人。在职实有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57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人，其中：财政全供养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57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人，非财政供养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人。离退休人员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23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人，其中：离休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人，退休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23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人。车辆编制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辆，实有车辆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</w:t>
      </w:r>
      <w:r>
        <w:rPr>
          <w:rFonts w:hint="eastAsia" w:ascii="楷体_GB2312" w:eastAsia="楷体_GB2312"/>
          <w:kern w:val="0"/>
          <w:sz w:val="30"/>
          <w:szCs w:val="30"/>
        </w:rPr>
        <w:t>三</w:t>
      </w:r>
      <w:r>
        <w:rPr>
          <w:rFonts w:ascii="楷体_GB2312" w:eastAsia="楷体_GB2312"/>
          <w:kern w:val="0"/>
          <w:sz w:val="30"/>
          <w:szCs w:val="30"/>
        </w:rPr>
        <w:t>）重点工作概述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1.贯彻执行党和国家的路线、方针、政策、法律、法规。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2.制定王子树乡经济和社会发展计划、规划，并组织实施。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3.讨论王子树乡经济建设和社会发展中的问题，围绕财政增收、农民致富，搞好生产结构调整，带领群众脱贫致富。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4.管理本行政区域的经济、教育、科学、文化、广播、卫生、防疫、体育事业、统计、财政、民政、公安、司法行政、计划生育等行政工作。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5.组织协调农田水利基本建设、小城镇建设、水土保持、退耕还林、荒山绿化、滑坡泥石流治理、乡村道路建设、人畜牧饮水等方面的工作。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6.负责本行政区域内的护林防火、防汛抗旱工作。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7.受理人民群众和国家机关工作人员的来信来访，解决民间矛盾纠纷。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8.保护社会主义的国有资产和劳动群众集体所有的财产、保护公民私人所有的合法财产，搞好社会治安、维护社会秩序、净化社会环境、保护公民的人身、民主权利和其他权利。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9.保护各种经济组织的合法权益。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10.保障少数民族的权利和尊重少数民族的风俗习惯。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11.加强乡人民政府的自身建设，对政府工作人员进行管理。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12.执行党委的决定、乡党代会和人民代表大会的决议，执行上级国家行政机关的决定和命令，同时根据法律和政策许可的范围发布本行政区域的决定和命令。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13.积极开展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/>
        </w:rPr>
        <w:t>脱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贫攻坚相关工作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14.办理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/>
        </w:rPr>
        <w:t>县委、县政府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和上级部门交办的其他工作。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二、预算单位基本情况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我部门编制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2018</w:t>
      </w:r>
      <w:r>
        <w:rPr>
          <w:rFonts w:eastAsia="仿宋_GB2312"/>
          <w:kern w:val="0"/>
          <w:sz w:val="30"/>
          <w:szCs w:val="30"/>
        </w:rPr>
        <w:t>年部门预算单位共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</w:t>
      </w:r>
      <w:r>
        <w:rPr>
          <w:rFonts w:eastAsia="仿宋_GB2312"/>
          <w:kern w:val="0"/>
          <w:sz w:val="30"/>
          <w:szCs w:val="30"/>
        </w:rPr>
        <w:t>个。其中：财政全供给单位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</w:t>
      </w:r>
      <w:r>
        <w:rPr>
          <w:rFonts w:eastAsia="仿宋_GB2312"/>
          <w:kern w:val="0"/>
          <w:sz w:val="30"/>
          <w:szCs w:val="30"/>
        </w:rPr>
        <w:t>个；部分供给单位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个；特殊供给单位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个；自收自支单位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个。财政全供给单位中行政单位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</w:t>
      </w:r>
      <w:r>
        <w:rPr>
          <w:rFonts w:eastAsia="仿宋_GB2312"/>
          <w:kern w:val="0"/>
          <w:sz w:val="30"/>
          <w:szCs w:val="30"/>
        </w:rPr>
        <w:t>个；参公管理事业单位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</w:t>
      </w:r>
      <w:r>
        <w:rPr>
          <w:rFonts w:eastAsia="仿宋_GB2312"/>
          <w:kern w:val="0"/>
          <w:sz w:val="30"/>
          <w:szCs w:val="30"/>
        </w:rPr>
        <w:t>个；非参公管理事业单位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个。截止2017年11月统计，部门基本情况如下：在职人员编制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70</w:t>
      </w:r>
      <w:r>
        <w:rPr>
          <w:rFonts w:eastAsia="仿宋_GB2312"/>
          <w:kern w:val="0"/>
          <w:sz w:val="30"/>
          <w:szCs w:val="30"/>
        </w:rPr>
        <w:t>人，其中：行政编制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30</w:t>
      </w:r>
      <w:r>
        <w:rPr>
          <w:rFonts w:eastAsia="仿宋_GB2312"/>
          <w:kern w:val="0"/>
          <w:sz w:val="30"/>
          <w:szCs w:val="30"/>
        </w:rPr>
        <w:t>人，事业编制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40</w:t>
      </w:r>
      <w:r>
        <w:rPr>
          <w:rFonts w:eastAsia="仿宋_GB2312"/>
          <w:kern w:val="0"/>
          <w:sz w:val="30"/>
          <w:szCs w:val="30"/>
        </w:rPr>
        <w:t>人。在职实有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57</w:t>
      </w:r>
      <w:r>
        <w:rPr>
          <w:rFonts w:eastAsia="仿宋_GB2312"/>
          <w:kern w:val="0"/>
          <w:sz w:val="30"/>
          <w:szCs w:val="30"/>
        </w:rPr>
        <w:t xml:space="preserve">人，其中： 财政全供养 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57</w:t>
      </w:r>
      <w:r>
        <w:rPr>
          <w:rFonts w:eastAsia="仿宋_GB2312"/>
          <w:kern w:val="0"/>
          <w:sz w:val="30"/>
          <w:szCs w:val="30"/>
        </w:rPr>
        <w:t>人，财政部分供养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人，非财政供养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 xml:space="preserve">离退休人员 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23</w:t>
      </w:r>
      <w:r>
        <w:rPr>
          <w:rFonts w:eastAsia="仿宋_GB2312"/>
          <w:kern w:val="0"/>
          <w:sz w:val="30"/>
          <w:szCs w:val="30"/>
        </w:rPr>
        <w:t xml:space="preserve">人，其中： 离休 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 xml:space="preserve">人，退休 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23</w:t>
      </w:r>
      <w:r>
        <w:rPr>
          <w:rFonts w:eastAsia="仿宋_GB2312"/>
          <w:kern w:val="0"/>
          <w:sz w:val="30"/>
          <w:szCs w:val="30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车辆编制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4</w:t>
      </w:r>
      <w:r>
        <w:rPr>
          <w:rFonts w:eastAsia="仿宋_GB2312"/>
          <w:kern w:val="0"/>
          <w:sz w:val="30"/>
          <w:szCs w:val="30"/>
        </w:rPr>
        <w:t>辆，实有车辆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4</w:t>
      </w:r>
      <w:r>
        <w:rPr>
          <w:rFonts w:eastAsia="仿宋_GB2312"/>
          <w:kern w:val="0"/>
          <w:sz w:val="30"/>
          <w:szCs w:val="30"/>
        </w:rPr>
        <w:t>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三、预算单位收入情况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50" w:firstLineChars="150"/>
        <w:jc w:val="left"/>
        <w:textAlignment w:val="auto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（一）部门财务收入情况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750" w:firstLineChars="250"/>
        <w:jc w:val="left"/>
        <w:textAlignment w:val="auto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  <w:lang w:val="en-US" w:eastAsia="zh-CN"/>
        </w:rPr>
        <w:t>2018</w:t>
      </w:r>
      <w:r>
        <w:rPr>
          <w:rFonts w:eastAsia="仿宋_GB2312"/>
          <w:kern w:val="0"/>
          <w:sz w:val="30"/>
          <w:szCs w:val="30"/>
        </w:rPr>
        <w:t xml:space="preserve">年部门财务总收入 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1179.7</w:t>
      </w:r>
      <w:r>
        <w:rPr>
          <w:rFonts w:eastAsia="仿宋_GB2312"/>
          <w:kern w:val="0"/>
          <w:sz w:val="30"/>
          <w:szCs w:val="30"/>
        </w:rPr>
        <w:t>万元，其中：一般公共预算</w:t>
      </w:r>
      <w:r>
        <w:rPr>
          <w:rFonts w:hint="eastAsia" w:eastAsia="仿宋_GB2312"/>
          <w:kern w:val="0"/>
          <w:sz w:val="30"/>
          <w:szCs w:val="30"/>
        </w:rPr>
        <w:t>财政拨款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901.57</w:t>
      </w:r>
      <w:r>
        <w:rPr>
          <w:rFonts w:eastAsia="仿宋_GB2312"/>
          <w:kern w:val="0"/>
          <w:sz w:val="30"/>
          <w:szCs w:val="30"/>
        </w:rPr>
        <w:t>万元，政府性基金</w:t>
      </w:r>
      <w:r>
        <w:rPr>
          <w:rFonts w:hint="eastAsia" w:eastAsia="仿宋_GB2312"/>
          <w:kern w:val="0"/>
          <w:sz w:val="30"/>
          <w:szCs w:val="30"/>
        </w:rPr>
        <w:t>预算财政拨款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万元，国有资本经营</w:t>
      </w:r>
      <w:r>
        <w:rPr>
          <w:rFonts w:hint="eastAsia" w:eastAsia="仿宋_GB2312"/>
          <w:kern w:val="0"/>
          <w:sz w:val="30"/>
          <w:szCs w:val="30"/>
        </w:rPr>
        <w:t>预算财政拨款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万元，事业收入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万元，事业单位经营收入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万元，其他收入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万元</w:t>
      </w:r>
      <w:r>
        <w:rPr>
          <w:rFonts w:hint="eastAsia" w:eastAsia="仿宋_GB2312"/>
          <w:kern w:val="0"/>
          <w:sz w:val="30"/>
          <w:szCs w:val="30"/>
        </w:rPr>
        <w:t>，上年结转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278.13</w:t>
      </w:r>
      <w:r>
        <w:rPr>
          <w:rFonts w:hint="eastAsia" w:eastAsia="仿宋_GB2312"/>
          <w:kern w:val="0"/>
          <w:sz w:val="30"/>
          <w:szCs w:val="30"/>
        </w:rPr>
        <w:t>万元</w:t>
      </w:r>
      <w:r>
        <w:rPr>
          <w:rFonts w:eastAsia="仿宋_GB2312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50" w:firstLineChars="150"/>
        <w:jc w:val="left"/>
        <w:textAlignment w:val="auto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（二）财政拨款收入情况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750" w:firstLineChars="250"/>
        <w:jc w:val="left"/>
        <w:textAlignment w:val="auto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  <w:lang w:val="en-US" w:eastAsia="zh-CN"/>
        </w:rPr>
        <w:t>2018</w:t>
      </w:r>
      <w:r>
        <w:rPr>
          <w:rFonts w:eastAsia="仿宋_GB2312"/>
          <w:kern w:val="0"/>
          <w:sz w:val="30"/>
          <w:szCs w:val="30"/>
        </w:rPr>
        <w:t xml:space="preserve">年部门财政拨款收入 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1179.7</w:t>
      </w:r>
      <w:r>
        <w:rPr>
          <w:rFonts w:eastAsia="仿宋_GB2312"/>
          <w:kern w:val="0"/>
          <w:sz w:val="30"/>
          <w:szCs w:val="30"/>
        </w:rPr>
        <w:t>万元，其中:本年收入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901.57</w:t>
      </w:r>
      <w:r>
        <w:rPr>
          <w:rFonts w:eastAsia="仿宋_GB2312"/>
          <w:kern w:val="0"/>
          <w:sz w:val="30"/>
          <w:szCs w:val="30"/>
        </w:rPr>
        <w:t>万元，上年结转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278.13</w:t>
      </w:r>
      <w:r>
        <w:rPr>
          <w:rFonts w:eastAsia="仿宋_GB2312"/>
          <w:kern w:val="0"/>
          <w:sz w:val="30"/>
          <w:szCs w:val="30"/>
        </w:rPr>
        <w:t>万元。本年收入中，一般公共预算财政拨款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901.57</w:t>
      </w:r>
      <w:r>
        <w:rPr>
          <w:rFonts w:eastAsia="仿宋_GB2312"/>
          <w:kern w:val="0"/>
          <w:sz w:val="30"/>
          <w:szCs w:val="30"/>
        </w:rPr>
        <w:t>万元（本级财力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901.57</w:t>
      </w:r>
      <w:r>
        <w:rPr>
          <w:rFonts w:eastAsia="仿宋_GB2312"/>
          <w:kern w:val="0"/>
          <w:sz w:val="30"/>
          <w:szCs w:val="30"/>
        </w:rPr>
        <w:t>万元，专项收入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万元，执法办案补助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万元，收费成本补偿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万元，财政专户管理的收入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万元，国有资源（资产）有偿使用</w:t>
      </w:r>
      <w:r>
        <w:rPr>
          <w:rFonts w:hint="eastAsia" w:eastAsia="仿宋_GB2312"/>
          <w:kern w:val="0"/>
          <w:sz w:val="30"/>
          <w:szCs w:val="30"/>
        </w:rPr>
        <w:t>成本补偿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万元），政府性基金</w:t>
      </w:r>
      <w:r>
        <w:rPr>
          <w:rFonts w:hint="eastAsia" w:eastAsia="仿宋_GB2312"/>
          <w:kern w:val="0"/>
          <w:sz w:val="30"/>
          <w:szCs w:val="30"/>
        </w:rPr>
        <w:t>预算</w:t>
      </w:r>
      <w:r>
        <w:rPr>
          <w:rFonts w:eastAsia="仿宋_GB2312"/>
          <w:kern w:val="0"/>
          <w:sz w:val="30"/>
          <w:szCs w:val="30"/>
        </w:rPr>
        <w:t>财政拨款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万元，国有资本经营</w:t>
      </w:r>
      <w:r>
        <w:rPr>
          <w:rFonts w:hint="eastAsia" w:eastAsia="仿宋_GB2312"/>
          <w:kern w:val="0"/>
          <w:sz w:val="30"/>
          <w:szCs w:val="30"/>
        </w:rPr>
        <w:t>预算</w:t>
      </w:r>
      <w:r>
        <w:rPr>
          <w:rFonts w:eastAsia="仿宋_GB2312"/>
          <w:kern w:val="0"/>
          <w:sz w:val="30"/>
          <w:szCs w:val="30"/>
        </w:rPr>
        <w:t>财政拨款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四、预算单位支出情况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  <w:lang w:val="en-US" w:eastAsia="zh-CN"/>
        </w:rPr>
        <w:t>2018</w:t>
      </w:r>
      <w:r>
        <w:rPr>
          <w:rFonts w:eastAsia="仿宋_GB2312"/>
          <w:kern w:val="0"/>
          <w:sz w:val="30"/>
          <w:szCs w:val="30"/>
        </w:rPr>
        <w:t xml:space="preserve">年部门预算总支出 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1179.7</w:t>
      </w:r>
      <w:r>
        <w:rPr>
          <w:rFonts w:eastAsia="仿宋_GB2312"/>
          <w:kern w:val="0"/>
          <w:sz w:val="30"/>
          <w:szCs w:val="30"/>
        </w:rPr>
        <w:t>万元。</w:t>
      </w:r>
      <w:r>
        <w:rPr>
          <w:rFonts w:hint="eastAsia" w:eastAsia="仿宋_GB2312"/>
          <w:kern w:val="0"/>
          <w:sz w:val="30"/>
          <w:szCs w:val="30"/>
        </w:rPr>
        <w:t>财政拨款</w:t>
      </w:r>
      <w:r>
        <w:rPr>
          <w:rFonts w:eastAsia="仿宋_GB2312"/>
          <w:kern w:val="0"/>
          <w:sz w:val="30"/>
          <w:szCs w:val="30"/>
        </w:rPr>
        <w:t xml:space="preserve">安排支出 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1179.7</w:t>
      </w:r>
      <w:r>
        <w:rPr>
          <w:rFonts w:eastAsia="仿宋_GB2312"/>
          <w:kern w:val="0"/>
          <w:sz w:val="30"/>
          <w:szCs w:val="30"/>
        </w:rPr>
        <w:t>万元，其中，基本支出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943.26</w:t>
      </w:r>
      <w:r>
        <w:rPr>
          <w:rFonts w:eastAsia="仿宋_GB2312"/>
          <w:kern w:val="0"/>
          <w:sz w:val="30"/>
          <w:szCs w:val="30"/>
        </w:rPr>
        <w:t>万元，项目支出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236.44</w:t>
      </w:r>
      <w:r>
        <w:rPr>
          <w:rFonts w:eastAsia="仿宋_GB2312"/>
          <w:kern w:val="0"/>
          <w:sz w:val="30"/>
          <w:szCs w:val="30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50" w:firstLineChars="150"/>
        <w:jc w:val="left"/>
        <w:textAlignment w:val="auto"/>
        <w:rPr>
          <w:rFonts w:eastAsia="仿宋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（一）</w:t>
      </w:r>
      <w:r>
        <w:rPr>
          <w:rFonts w:hint="eastAsia" w:ascii="楷体_GB2312" w:eastAsia="楷体_GB2312"/>
          <w:kern w:val="0"/>
          <w:sz w:val="30"/>
          <w:szCs w:val="30"/>
        </w:rPr>
        <w:t>财政拨款安排</w:t>
      </w:r>
      <w:r>
        <w:rPr>
          <w:rFonts w:ascii="楷体_GB2312" w:eastAsia="楷体_GB2312"/>
          <w:kern w:val="0"/>
          <w:sz w:val="30"/>
          <w:szCs w:val="30"/>
        </w:rPr>
        <w:t>支出按功能科目分类情况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功能科目分组，主要用于</w:t>
      </w:r>
      <w:r>
        <w:rPr>
          <w:rFonts w:hint="eastAsia" w:eastAsia="仿宋_GB2312"/>
          <w:kern w:val="0"/>
          <w:sz w:val="30"/>
          <w:szCs w:val="30"/>
          <w:lang w:eastAsia="zh-CN"/>
        </w:rPr>
        <w:t>：</w:t>
      </w:r>
      <w:r>
        <w:rPr>
          <w:rFonts w:hint="eastAsia" w:eastAsia="仿宋_GB2312"/>
          <w:kern w:val="0"/>
          <w:sz w:val="30"/>
          <w:szCs w:val="30"/>
        </w:rPr>
        <w:t>一般公共服务支出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851.82万元；教育支出4.17万元;文化体育与传媒支出53.22万元；社会保障和就业支出145.46万元；医疗卫生与计划生育支出0.51万元；城乡社区支出0.54万元；农林水支出35.08万元；交通运输支出0.1万元；资源勘探信息等支出3.5万元；商业服务业等支出30万元；国土海洋气象等支出3.05万元；住房保障支出42.25万元；其他支出10万元</w:t>
      </w:r>
      <w:r>
        <w:rPr>
          <w:rFonts w:eastAsia="仿宋_GB2312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50" w:firstLineChars="150"/>
        <w:jc w:val="left"/>
        <w:textAlignment w:val="auto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（二）</w:t>
      </w:r>
      <w:r>
        <w:rPr>
          <w:rFonts w:hint="eastAsia" w:ascii="楷体_GB2312" w:eastAsia="楷体_GB2312"/>
          <w:kern w:val="0"/>
          <w:sz w:val="30"/>
          <w:szCs w:val="30"/>
        </w:rPr>
        <w:t>财政拨款安排</w:t>
      </w:r>
      <w:r>
        <w:rPr>
          <w:rFonts w:ascii="楷体_GB2312" w:eastAsia="楷体_GB2312"/>
          <w:kern w:val="0"/>
          <w:sz w:val="30"/>
          <w:szCs w:val="30"/>
        </w:rPr>
        <w:t>支出按经济科目分类情况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经济科目分组</w:t>
      </w:r>
      <w:r>
        <w:rPr>
          <w:rFonts w:hint="eastAsia" w:eastAsia="仿宋_GB2312"/>
          <w:kern w:val="0"/>
          <w:sz w:val="30"/>
          <w:szCs w:val="30"/>
          <w:lang w:eastAsia="zh-CN"/>
        </w:rPr>
        <w:t>：工资福利支出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674.45万元；商品和服务支出256.31万元；对个人和家庭的补助148.94万元；资本性支出100万元</w:t>
      </w:r>
      <w:r>
        <w:rPr>
          <w:rFonts w:eastAsia="仿宋_GB2312"/>
          <w:kern w:val="0"/>
          <w:sz w:val="30"/>
          <w:szCs w:val="30"/>
        </w:rPr>
        <w:t>（其中：基本支出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943.26</w:t>
      </w:r>
      <w:r>
        <w:rPr>
          <w:rFonts w:eastAsia="仿宋_GB2312"/>
          <w:kern w:val="0"/>
          <w:sz w:val="30"/>
          <w:szCs w:val="30"/>
        </w:rPr>
        <w:t>万元，项目支出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236.44</w:t>
      </w:r>
      <w:r>
        <w:rPr>
          <w:rFonts w:eastAsia="仿宋_GB2312"/>
          <w:kern w:val="0"/>
          <w:sz w:val="30"/>
          <w:szCs w:val="30"/>
        </w:rPr>
        <w:t>万元）。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五、省对下</w:t>
      </w:r>
      <w:r>
        <w:rPr>
          <w:rFonts w:hint="eastAsia" w:ascii="黑体" w:hAnsi="黑体" w:eastAsia="黑体"/>
          <w:kern w:val="0"/>
          <w:sz w:val="30"/>
          <w:szCs w:val="30"/>
          <w:lang w:eastAsia="zh-CN"/>
        </w:rPr>
        <w:t>专</w:t>
      </w:r>
      <w:r>
        <w:rPr>
          <w:rFonts w:ascii="黑体" w:hAnsi="黑体" w:eastAsia="黑体"/>
          <w:kern w:val="0"/>
          <w:sz w:val="30"/>
          <w:szCs w:val="30"/>
        </w:rPr>
        <w:t>项转移支付情况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50" w:firstLineChars="150"/>
        <w:jc w:val="left"/>
        <w:textAlignment w:val="auto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（一）列入省对下专项转移支付项目清单项目情况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>部门列入省对下专项转移支付项目清单项目为：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50" w:firstLineChars="150"/>
        <w:jc w:val="left"/>
        <w:textAlignment w:val="auto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（二）与中央配套事项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200" w:firstLineChars="400"/>
        <w:jc w:val="left"/>
        <w:textAlignment w:val="auto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  <w:lang w:eastAsia="zh-CN"/>
        </w:rPr>
        <w:t>无</w:t>
      </w:r>
      <w:r>
        <w:rPr>
          <w:rFonts w:eastAsia="仿宋_GB2312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left"/>
        <w:textAlignment w:val="auto"/>
        <w:rPr>
          <w:rFonts w:eastAsia="仿宋_GB2312"/>
          <w:b/>
          <w:kern w:val="0"/>
          <w:sz w:val="30"/>
          <w:szCs w:val="30"/>
        </w:rPr>
      </w:pPr>
      <w:r>
        <w:rPr>
          <w:rFonts w:eastAsia="仿宋_GB2312"/>
          <w:b/>
          <w:kern w:val="0"/>
          <w:sz w:val="30"/>
          <w:szCs w:val="30"/>
        </w:rPr>
        <w:t>（</w:t>
      </w:r>
      <w:r>
        <w:rPr>
          <w:rFonts w:ascii="楷体_GB2312" w:eastAsia="楷体_GB2312"/>
          <w:kern w:val="0"/>
          <w:sz w:val="30"/>
          <w:szCs w:val="30"/>
        </w:rPr>
        <w:t>三）按既定政策标准测算补助事项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200" w:firstLineChars="400"/>
        <w:jc w:val="left"/>
        <w:textAlignment w:val="auto"/>
        <w:rPr>
          <w:rFonts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  <w:lang w:eastAsia="zh-CN"/>
        </w:rPr>
        <w:t>无</w:t>
      </w:r>
      <w:r>
        <w:rPr>
          <w:rFonts w:eastAsia="仿宋_GB2312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ascii="黑体" w:hAnsi="黑体" w:eastAsia="黑体"/>
          <w:kern w:val="0"/>
          <w:sz w:val="30"/>
          <w:szCs w:val="30"/>
        </w:rPr>
      </w:pPr>
      <w:r>
        <w:rPr>
          <w:rFonts w:ascii="黑体" w:hAnsi="黑体" w:eastAsia="黑体"/>
          <w:kern w:val="0"/>
          <w:sz w:val="30"/>
          <w:szCs w:val="30"/>
        </w:rPr>
        <w:t>六、政府采购预算情况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rPr>
          <w:rFonts w:eastAsia="仿宋_GB2312"/>
          <w:kern w:val="0"/>
          <w:sz w:val="30"/>
          <w:szCs w:val="30"/>
        </w:rPr>
      </w:pPr>
      <w:r>
        <w:rPr>
          <w:rFonts w:eastAsia="仿宋_GB2312"/>
          <w:kern w:val="0"/>
          <w:sz w:val="30"/>
          <w:szCs w:val="30"/>
        </w:rPr>
        <w:t xml:space="preserve">    根据《中华人民共和国政府采购法》的有关规定，编制了政府采购预算，共涉及采购项目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个，采购预算资金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0</w:t>
      </w:r>
      <w:r>
        <w:rPr>
          <w:rFonts w:eastAsia="仿宋_GB2312"/>
          <w:kern w:val="0"/>
          <w:sz w:val="30"/>
          <w:szCs w:val="30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ascii="黑体" w:hAnsi="黑体" w:eastAsia="黑体"/>
          <w:kern w:val="0"/>
          <w:sz w:val="30"/>
          <w:szCs w:val="30"/>
        </w:rPr>
      </w:pPr>
      <w:r>
        <w:rPr>
          <w:rFonts w:hint="eastAsia" w:ascii="黑体" w:hAnsi="黑体" w:eastAsia="黑体"/>
          <w:kern w:val="0"/>
          <w:sz w:val="30"/>
          <w:szCs w:val="30"/>
        </w:rPr>
        <w:t>七、预算收支增减变化情况说明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hint="eastAsia" w:cs="仿宋_GB2312" w:asciiTheme="majorEastAsia" w:hAnsiTheme="majorEastAsia" w:eastAsiaTheme="majorEastAsia"/>
          <w:kern w:val="0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sz w:val="30"/>
          <w:szCs w:val="30"/>
        </w:rPr>
        <w:t>2018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</w:rPr>
        <w:t>年部门预算总支出</w:t>
      </w:r>
      <w:r>
        <w:rPr>
          <w:rFonts w:hint="eastAsia" w:cs="仿宋_GB2312" w:asciiTheme="majorEastAsia" w:hAnsiTheme="majorEastAsia" w:eastAsiaTheme="majorEastAsia"/>
          <w:sz w:val="30"/>
          <w:szCs w:val="30"/>
          <w:lang w:val="en-US" w:eastAsia="zh-CN"/>
        </w:rPr>
        <w:t>1179.7</w:t>
      </w:r>
      <w:r>
        <w:rPr>
          <w:rFonts w:hint="eastAsia" w:cs="仿宋_GB2312" w:asciiTheme="majorEastAsia" w:hAnsiTheme="majorEastAsia" w:eastAsiaTheme="majorEastAsia"/>
          <w:sz w:val="30"/>
          <w:szCs w:val="30"/>
        </w:rPr>
        <w:t>万元（其中上年结转</w:t>
      </w:r>
      <w:r>
        <w:rPr>
          <w:rFonts w:hint="eastAsia" w:cs="仿宋_GB2312" w:asciiTheme="majorEastAsia" w:hAnsiTheme="majorEastAsia" w:eastAsiaTheme="majorEastAsia"/>
          <w:sz w:val="30"/>
          <w:szCs w:val="30"/>
          <w:lang w:val="en-US" w:eastAsia="zh-CN"/>
        </w:rPr>
        <w:t>278.13</w:t>
      </w:r>
      <w:r>
        <w:rPr>
          <w:rFonts w:hint="eastAsia" w:cs="仿宋_GB2312" w:asciiTheme="majorEastAsia" w:hAnsiTheme="majorEastAsia" w:eastAsiaTheme="majorEastAsia"/>
          <w:sz w:val="30"/>
          <w:szCs w:val="30"/>
        </w:rPr>
        <w:t>万元），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</w:rPr>
        <w:t>较</w:t>
      </w:r>
      <w:r>
        <w:rPr>
          <w:rFonts w:hint="eastAsia" w:cs="仿宋_GB2312" w:asciiTheme="majorEastAsia" w:hAnsiTheme="majorEastAsia" w:eastAsiaTheme="majorEastAsia"/>
          <w:sz w:val="30"/>
          <w:szCs w:val="30"/>
        </w:rPr>
        <w:t>2017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</w:rPr>
        <w:t>年部门预算总支出</w:t>
      </w:r>
      <w:r>
        <w:rPr>
          <w:rFonts w:hint="eastAsia" w:cs="仿宋_GB2312" w:asciiTheme="majorEastAsia" w:hAnsiTheme="majorEastAsia" w:eastAsiaTheme="majorEastAsia"/>
          <w:sz w:val="30"/>
          <w:szCs w:val="30"/>
          <w:lang w:val="en-US" w:eastAsia="zh-CN"/>
        </w:rPr>
        <w:t>701.76</w:t>
      </w:r>
      <w:r>
        <w:rPr>
          <w:rFonts w:hint="eastAsia" w:cs="仿宋_GB2312" w:asciiTheme="majorEastAsia" w:hAnsiTheme="majorEastAsia" w:eastAsiaTheme="majorEastAsia"/>
          <w:sz w:val="30"/>
          <w:szCs w:val="30"/>
        </w:rPr>
        <w:t>万元，减少</w:t>
      </w:r>
      <w:r>
        <w:rPr>
          <w:rFonts w:hint="eastAsia" w:cs="仿宋_GB2312" w:asciiTheme="majorEastAsia" w:hAnsiTheme="majorEastAsia" w:eastAsiaTheme="majorEastAsia"/>
          <w:sz w:val="30"/>
          <w:szCs w:val="30"/>
          <w:lang w:val="en-US" w:eastAsia="zh-CN"/>
        </w:rPr>
        <w:t>477.94</w:t>
      </w:r>
      <w:r>
        <w:rPr>
          <w:rFonts w:hint="eastAsia" w:cs="仿宋_GB2312" w:asciiTheme="majorEastAsia" w:hAnsiTheme="majorEastAsia" w:eastAsiaTheme="majorEastAsia"/>
          <w:sz w:val="30"/>
          <w:szCs w:val="30"/>
        </w:rPr>
        <w:t>万元；其中：2018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</w:rPr>
        <w:t>基本支出</w:t>
      </w:r>
      <w:r>
        <w:rPr>
          <w:rFonts w:hint="eastAsia" w:cs="仿宋_GB2312" w:asciiTheme="majorEastAsia" w:hAnsiTheme="majorEastAsia" w:eastAsiaTheme="majorEastAsia"/>
          <w:sz w:val="30"/>
          <w:szCs w:val="30"/>
          <w:lang w:val="en-US" w:eastAsia="zh-CN"/>
        </w:rPr>
        <w:t>943.26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</w:rPr>
        <w:t>万元，较2017年基本支出</w:t>
      </w:r>
      <w:r>
        <w:rPr>
          <w:rFonts w:hint="eastAsia" w:cs="仿宋_GB2312" w:asciiTheme="majorEastAsia" w:hAnsiTheme="majorEastAsia" w:eastAsiaTheme="majorEastAsia"/>
          <w:sz w:val="30"/>
          <w:szCs w:val="30"/>
          <w:lang w:val="en-US" w:eastAsia="zh-CN"/>
        </w:rPr>
        <w:t>688.48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</w:rPr>
        <w:t>万元，增加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  <w:lang w:val="en-US" w:eastAsia="zh-CN"/>
        </w:rPr>
        <w:t>254.78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</w:rPr>
        <w:t>万元，是由于人员工资中增加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  <w:lang w:eastAsia="zh-CN"/>
        </w:rPr>
        <w:t>住房公积金、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</w:rPr>
        <w:t>改革性补贴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  <w:lang w:eastAsia="zh-CN"/>
        </w:rPr>
        <w:t>、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</w:rPr>
        <w:t>月发绩效奖励金；2018项目支出</w:t>
      </w:r>
      <w:r>
        <w:rPr>
          <w:rFonts w:hint="eastAsia" w:cs="仿宋_GB2312" w:asciiTheme="majorEastAsia" w:hAnsiTheme="majorEastAsia" w:eastAsiaTheme="majorEastAsia"/>
          <w:sz w:val="30"/>
          <w:szCs w:val="30"/>
          <w:lang w:val="en-US" w:eastAsia="zh-CN"/>
        </w:rPr>
        <w:t>236.44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</w:rPr>
        <w:t>万元，较2017年项目支出</w:t>
      </w:r>
      <w:r>
        <w:rPr>
          <w:rFonts w:hint="eastAsia" w:cs="仿宋_GB2312" w:asciiTheme="majorEastAsia" w:hAnsiTheme="majorEastAsia" w:eastAsiaTheme="majorEastAsia"/>
          <w:sz w:val="30"/>
          <w:szCs w:val="30"/>
          <w:lang w:val="en-US" w:eastAsia="zh-CN"/>
        </w:rPr>
        <w:t>13.28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</w:rPr>
        <w:t>万元，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  <w:lang w:eastAsia="zh-CN"/>
        </w:rPr>
        <w:t>增加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  <w:lang w:val="en-US" w:eastAsia="zh-CN"/>
        </w:rPr>
        <w:t>223.16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</w:rPr>
        <w:t>万元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  <w:lang w:eastAsia="zh-CN"/>
        </w:rPr>
        <w:t>，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</w:rPr>
        <w:t>主要原因是上年存在结余资金较多，本年预算项目较上年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  <w:lang w:eastAsia="zh-CN"/>
        </w:rPr>
        <w:t>增加</w:t>
      </w:r>
      <w:r>
        <w:rPr>
          <w:rFonts w:hint="eastAsia" w:cs="仿宋_GB2312" w:asciiTheme="majorEastAsia" w:hAnsiTheme="majorEastAsia" w:eastAsiaTheme="majorEastAsia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hint="eastAsia" w:cs="仿宋_GB2312" w:asciiTheme="majorEastAsia" w:hAnsiTheme="majorEastAsia" w:eastAsiaTheme="majorEastAsia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ascii="黑体" w:hAnsi="黑体" w:eastAsia="黑体"/>
          <w:kern w:val="0"/>
          <w:sz w:val="30"/>
          <w:szCs w:val="30"/>
        </w:rPr>
      </w:pPr>
      <w:r>
        <w:rPr>
          <w:rFonts w:hint="eastAsia" w:ascii="黑体" w:hAnsi="黑体" w:eastAsia="黑体"/>
          <w:kern w:val="0"/>
          <w:sz w:val="30"/>
          <w:szCs w:val="30"/>
        </w:rPr>
        <w:t>八</w:t>
      </w:r>
      <w:r>
        <w:rPr>
          <w:rFonts w:ascii="黑体" w:hAnsi="黑体" w:eastAsia="黑体"/>
          <w:kern w:val="0"/>
          <w:sz w:val="30"/>
          <w:szCs w:val="30"/>
        </w:rPr>
        <w:t>、其他公开信息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（一）专业名词解释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1.商品和服务支出：</w:t>
      </w:r>
      <w:r>
        <w:rPr>
          <w:rFonts w:hint="eastAsia" w:ascii="宋体" w:hAnsi="宋体"/>
          <w:sz w:val="28"/>
          <w:szCs w:val="28"/>
          <w:lang w:eastAsia="zh-CN"/>
        </w:rPr>
        <w:t>包括办公费、印刷费、电费、差旅费、会议费、培训费、公务接待费等日常工作支出。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2.“三公”经费支出：包括因公出国费用、公务接待费、公务用车运行维护费。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（二）机关运行经费安排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hint="eastAsia" w:cs="仿宋_GB2312" w:asciiTheme="majorEastAsia" w:hAnsiTheme="majorEastAsia" w:eastAsiaTheme="majorEastAsia"/>
          <w:sz w:val="30"/>
          <w:szCs w:val="30"/>
        </w:rPr>
      </w:pPr>
      <w:r>
        <w:rPr>
          <w:rFonts w:hint="eastAsia" w:cs="仿宋_GB2312" w:asciiTheme="majorEastAsia" w:hAnsiTheme="majorEastAsia" w:eastAsiaTheme="majorEastAsia"/>
          <w:sz w:val="30"/>
          <w:szCs w:val="30"/>
        </w:rPr>
        <w:t>2018年预算安排机关运行经费</w:t>
      </w:r>
      <w:r>
        <w:rPr>
          <w:rFonts w:hint="eastAsia" w:cs="仿宋_GB2312" w:asciiTheme="majorEastAsia" w:hAnsiTheme="majorEastAsia" w:eastAsiaTheme="majorEastAsia"/>
          <w:sz w:val="30"/>
          <w:szCs w:val="30"/>
          <w:lang w:val="en-US" w:eastAsia="zh-CN"/>
        </w:rPr>
        <w:t>48.58</w:t>
      </w:r>
      <w:r>
        <w:rPr>
          <w:rFonts w:hint="eastAsia" w:cs="仿宋_GB2312" w:asciiTheme="majorEastAsia" w:hAnsiTheme="majorEastAsia" w:eastAsiaTheme="majorEastAsia"/>
          <w:sz w:val="30"/>
          <w:szCs w:val="30"/>
        </w:rPr>
        <w:t>万元</w:t>
      </w:r>
      <w:r>
        <w:rPr>
          <w:rFonts w:hint="eastAsia" w:cs="仿宋_GB2312" w:asciiTheme="majorEastAsia" w:hAnsiTheme="majorEastAsia" w:eastAsiaTheme="majorEastAsia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ascii="楷体_GB2312" w:eastAsia="楷体_GB2312"/>
          <w:kern w:val="0"/>
          <w:sz w:val="30"/>
          <w:szCs w:val="30"/>
        </w:rPr>
      </w:pPr>
      <w:r>
        <w:rPr>
          <w:rFonts w:ascii="楷体_GB2312" w:eastAsia="楷体_GB2312"/>
          <w:kern w:val="0"/>
          <w:sz w:val="30"/>
          <w:szCs w:val="30"/>
        </w:rPr>
        <w:t>（三）国有资产占用情况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hint="eastAsia" w:eastAsia="仿宋_GB2312"/>
          <w:kern w:val="0"/>
          <w:sz w:val="30"/>
          <w:szCs w:val="30"/>
        </w:rPr>
      </w:pPr>
      <w:r>
        <w:rPr>
          <w:rFonts w:hint="eastAsia" w:eastAsia="仿宋_GB2312"/>
          <w:kern w:val="0"/>
          <w:sz w:val="30"/>
          <w:szCs w:val="30"/>
        </w:rPr>
        <w:t>鉴于截至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2017</w:t>
      </w:r>
      <w:r>
        <w:rPr>
          <w:rFonts w:hint="eastAsia" w:eastAsia="仿宋_GB2312"/>
          <w:kern w:val="0"/>
          <w:sz w:val="30"/>
          <w:szCs w:val="30"/>
        </w:rPr>
        <w:t>年12月31日的国有资产占有使用情况需在完成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2017</w:t>
      </w:r>
      <w:r>
        <w:rPr>
          <w:rFonts w:hint="eastAsia" w:eastAsia="仿宋_GB2312"/>
          <w:kern w:val="0"/>
          <w:sz w:val="30"/>
          <w:szCs w:val="30"/>
        </w:rPr>
        <w:t>年决算编制后才能统计汇总相关数据，因此，将在公开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2017</w:t>
      </w:r>
      <w:r>
        <w:rPr>
          <w:rFonts w:hint="eastAsia" w:eastAsia="仿宋_GB2312"/>
          <w:kern w:val="0"/>
          <w:sz w:val="30"/>
          <w:szCs w:val="30"/>
        </w:rPr>
        <w:t>年度部门决算时一并公开部门截至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2017</w:t>
      </w:r>
      <w:r>
        <w:rPr>
          <w:rFonts w:hint="eastAsia" w:eastAsia="仿宋_GB2312"/>
          <w:kern w:val="0"/>
          <w:sz w:val="30"/>
          <w:szCs w:val="30"/>
        </w:rPr>
        <w:t>年12月31日的国有资产占有使用情况。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hint="eastAsia" w:eastAsia="仿宋_GB2312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hint="eastAsia" w:eastAsia="仿宋_GB2312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left"/>
        <w:textAlignment w:val="auto"/>
        <w:rPr>
          <w:rFonts w:hint="eastAsia" w:eastAsia="仿宋_GB2312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200" w:firstLineChars="1400"/>
        <w:jc w:val="left"/>
        <w:textAlignment w:val="auto"/>
        <w:rPr>
          <w:rFonts w:hint="eastAsia" w:eastAsia="仿宋_GB2312"/>
          <w:kern w:val="0"/>
          <w:sz w:val="30"/>
          <w:szCs w:val="30"/>
          <w:lang w:eastAsia="zh-CN"/>
        </w:rPr>
      </w:pPr>
      <w:r>
        <w:rPr>
          <w:rFonts w:hint="eastAsia" w:eastAsia="仿宋_GB2312"/>
          <w:kern w:val="0"/>
          <w:sz w:val="30"/>
          <w:szCs w:val="30"/>
          <w:lang w:eastAsia="zh-CN"/>
        </w:rPr>
        <w:t>陇川县王子树乡人民政府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500" w:firstLineChars="1500"/>
        <w:jc w:val="left"/>
        <w:textAlignment w:val="auto"/>
        <w:rPr>
          <w:rFonts w:hint="eastAsia" w:eastAsia="仿宋_GB2312"/>
          <w:kern w:val="0"/>
          <w:sz w:val="30"/>
          <w:szCs w:val="30"/>
          <w:lang w:val="en-US" w:eastAsia="zh-CN"/>
        </w:rPr>
      </w:pPr>
      <w:r>
        <w:rPr>
          <w:rFonts w:hint="eastAsia" w:eastAsia="仿宋_GB2312"/>
          <w:kern w:val="0"/>
          <w:sz w:val="30"/>
          <w:szCs w:val="30"/>
          <w:lang w:val="en-US" w:eastAsia="zh-CN"/>
        </w:rPr>
        <w:t xml:space="preserve"> 2018年2月12日</w:t>
      </w:r>
    </w:p>
    <w:sectPr>
      <w:headerReference r:id="rId3" w:type="default"/>
      <w:headerReference r:id="rId4" w:type="even"/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5AD5"/>
    <w:rsid w:val="0000585F"/>
    <w:rsid w:val="0000790E"/>
    <w:rsid w:val="00010713"/>
    <w:rsid w:val="00011F4A"/>
    <w:rsid w:val="00012FB3"/>
    <w:rsid w:val="00014D4F"/>
    <w:rsid w:val="000152A5"/>
    <w:rsid w:val="000237AB"/>
    <w:rsid w:val="0003248D"/>
    <w:rsid w:val="00034005"/>
    <w:rsid w:val="0005317B"/>
    <w:rsid w:val="000543CA"/>
    <w:rsid w:val="00054EA9"/>
    <w:rsid w:val="000559B2"/>
    <w:rsid w:val="00060B5F"/>
    <w:rsid w:val="00063177"/>
    <w:rsid w:val="00064C37"/>
    <w:rsid w:val="00070204"/>
    <w:rsid w:val="00073344"/>
    <w:rsid w:val="00074721"/>
    <w:rsid w:val="00081157"/>
    <w:rsid w:val="00083CB1"/>
    <w:rsid w:val="00085843"/>
    <w:rsid w:val="000860FB"/>
    <w:rsid w:val="00094C89"/>
    <w:rsid w:val="000952C1"/>
    <w:rsid w:val="00096A53"/>
    <w:rsid w:val="000A03E5"/>
    <w:rsid w:val="000A07EA"/>
    <w:rsid w:val="000A1122"/>
    <w:rsid w:val="000A6A4C"/>
    <w:rsid w:val="000A74AF"/>
    <w:rsid w:val="000A7B19"/>
    <w:rsid w:val="000B0125"/>
    <w:rsid w:val="000B59B5"/>
    <w:rsid w:val="000B5BAB"/>
    <w:rsid w:val="000B7EA9"/>
    <w:rsid w:val="000C3AE5"/>
    <w:rsid w:val="000C5123"/>
    <w:rsid w:val="000D4394"/>
    <w:rsid w:val="000E2B18"/>
    <w:rsid w:val="000E530D"/>
    <w:rsid w:val="000F4C86"/>
    <w:rsid w:val="001046C0"/>
    <w:rsid w:val="00104701"/>
    <w:rsid w:val="00114FB7"/>
    <w:rsid w:val="00122B32"/>
    <w:rsid w:val="00123DF3"/>
    <w:rsid w:val="00126D02"/>
    <w:rsid w:val="00126F40"/>
    <w:rsid w:val="00127A6B"/>
    <w:rsid w:val="001341D1"/>
    <w:rsid w:val="0013430D"/>
    <w:rsid w:val="0013484F"/>
    <w:rsid w:val="00134BE4"/>
    <w:rsid w:val="0013549C"/>
    <w:rsid w:val="001418E2"/>
    <w:rsid w:val="0014446D"/>
    <w:rsid w:val="001446A5"/>
    <w:rsid w:val="0014486B"/>
    <w:rsid w:val="00144CF1"/>
    <w:rsid w:val="0014558B"/>
    <w:rsid w:val="00146960"/>
    <w:rsid w:val="00155639"/>
    <w:rsid w:val="00155D5E"/>
    <w:rsid w:val="00157BA7"/>
    <w:rsid w:val="001704E4"/>
    <w:rsid w:val="00175223"/>
    <w:rsid w:val="00175B2E"/>
    <w:rsid w:val="00176F17"/>
    <w:rsid w:val="001804E3"/>
    <w:rsid w:val="00180C9A"/>
    <w:rsid w:val="00182D13"/>
    <w:rsid w:val="00183B42"/>
    <w:rsid w:val="00186C54"/>
    <w:rsid w:val="00192C05"/>
    <w:rsid w:val="00197CAA"/>
    <w:rsid w:val="00197E5D"/>
    <w:rsid w:val="001A1B3A"/>
    <w:rsid w:val="001A3CEE"/>
    <w:rsid w:val="001A784A"/>
    <w:rsid w:val="001B045D"/>
    <w:rsid w:val="001C1C89"/>
    <w:rsid w:val="001C55D5"/>
    <w:rsid w:val="001D120C"/>
    <w:rsid w:val="001E03BD"/>
    <w:rsid w:val="001E684A"/>
    <w:rsid w:val="00200BD6"/>
    <w:rsid w:val="00216177"/>
    <w:rsid w:val="002230AE"/>
    <w:rsid w:val="002247D0"/>
    <w:rsid w:val="00224F80"/>
    <w:rsid w:val="0022507C"/>
    <w:rsid w:val="00226979"/>
    <w:rsid w:val="002406F5"/>
    <w:rsid w:val="00242E76"/>
    <w:rsid w:val="00243464"/>
    <w:rsid w:val="002462A8"/>
    <w:rsid w:val="00247731"/>
    <w:rsid w:val="00253C74"/>
    <w:rsid w:val="00262BAD"/>
    <w:rsid w:val="002726B1"/>
    <w:rsid w:val="002727D0"/>
    <w:rsid w:val="002749C8"/>
    <w:rsid w:val="00275325"/>
    <w:rsid w:val="00281C06"/>
    <w:rsid w:val="00285DC4"/>
    <w:rsid w:val="00294AE7"/>
    <w:rsid w:val="002A7BAE"/>
    <w:rsid w:val="002B11FA"/>
    <w:rsid w:val="002B2CA6"/>
    <w:rsid w:val="002B34ED"/>
    <w:rsid w:val="002B37A7"/>
    <w:rsid w:val="002B4342"/>
    <w:rsid w:val="002B56EB"/>
    <w:rsid w:val="002B6D47"/>
    <w:rsid w:val="002C7D21"/>
    <w:rsid w:val="002D27CD"/>
    <w:rsid w:val="002D3EC0"/>
    <w:rsid w:val="002D729F"/>
    <w:rsid w:val="002E0E3C"/>
    <w:rsid w:val="002E2F7F"/>
    <w:rsid w:val="002E4B20"/>
    <w:rsid w:val="002E5FC6"/>
    <w:rsid w:val="002E6D7D"/>
    <w:rsid w:val="002F2C1E"/>
    <w:rsid w:val="002F6E99"/>
    <w:rsid w:val="00300C47"/>
    <w:rsid w:val="003050B6"/>
    <w:rsid w:val="0030726B"/>
    <w:rsid w:val="0031118B"/>
    <w:rsid w:val="0031122F"/>
    <w:rsid w:val="00315EFA"/>
    <w:rsid w:val="00316408"/>
    <w:rsid w:val="003179FB"/>
    <w:rsid w:val="00323A51"/>
    <w:rsid w:val="003244C9"/>
    <w:rsid w:val="0032468B"/>
    <w:rsid w:val="00327119"/>
    <w:rsid w:val="003333E4"/>
    <w:rsid w:val="00336580"/>
    <w:rsid w:val="0034184B"/>
    <w:rsid w:val="003535EB"/>
    <w:rsid w:val="00354D29"/>
    <w:rsid w:val="00356356"/>
    <w:rsid w:val="00360593"/>
    <w:rsid w:val="00360EF7"/>
    <w:rsid w:val="00361A07"/>
    <w:rsid w:val="003710A2"/>
    <w:rsid w:val="00372470"/>
    <w:rsid w:val="00376707"/>
    <w:rsid w:val="0037788A"/>
    <w:rsid w:val="0038029B"/>
    <w:rsid w:val="00383096"/>
    <w:rsid w:val="00392AA8"/>
    <w:rsid w:val="003931E6"/>
    <w:rsid w:val="003A324A"/>
    <w:rsid w:val="003A73EF"/>
    <w:rsid w:val="003B2514"/>
    <w:rsid w:val="003B54C2"/>
    <w:rsid w:val="003B5BA8"/>
    <w:rsid w:val="003C1BE1"/>
    <w:rsid w:val="003C6315"/>
    <w:rsid w:val="003D1204"/>
    <w:rsid w:val="003D160D"/>
    <w:rsid w:val="003D35F4"/>
    <w:rsid w:val="003D6601"/>
    <w:rsid w:val="003D6C9A"/>
    <w:rsid w:val="003E2D1F"/>
    <w:rsid w:val="003E2DE1"/>
    <w:rsid w:val="003E5754"/>
    <w:rsid w:val="003F171F"/>
    <w:rsid w:val="003F201E"/>
    <w:rsid w:val="003F3C0C"/>
    <w:rsid w:val="0040002C"/>
    <w:rsid w:val="00400C3B"/>
    <w:rsid w:val="00403507"/>
    <w:rsid w:val="00403546"/>
    <w:rsid w:val="004158B8"/>
    <w:rsid w:val="00416B98"/>
    <w:rsid w:val="00421A99"/>
    <w:rsid w:val="0042780C"/>
    <w:rsid w:val="0043232E"/>
    <w:rsid w:val="00432BAC"/>
    <w:rsid w:val="00445161"/>
    <w:rsid w:val="004457F4"/>
    <w:rsid w:val="004472BF"/>
    <w:rsid w:val="00447C85"/>
    <w:rsid w:val="004544A9"/>
    <w:rsid w:val="00455E38"/>
    <w:rsid w:val="00456CDD"/>
    <w:rsid w:val="004605B3"/>
    <w:rsid w:val="00467CD2"/>
    <w:rsid w:val="004718A9"/>
    <w:rsid w:val="00476EC1"/>
    <w:rsid w:val="00480582"/>
    <w:rsid w:val="0048694C"/>
    <w:rsid w:val="004911B1"/>
    <w:rsid w:val="00495E43"/>
    <w:rsid w:val="004A362F"/>
    <w:rsid w:val="004A742B"/>
    <w:rsid w:val="004B29ED"/>
    <w:rsid w:val="004B50FC"/>
    <w:rsid w:val="004C064B"/>
    <w:rsid w:val="004C1CDF"/>
    <w:rsid w:val="004D26D3"/>
    <w:rsid w:val="004D3A59"/>
    <w:rsid w:val="004D6E1D"/>
    <w:rsid w:val="004F2C44"/>
    <w:rsid w:val="004F4F9F"/>
    <w:rsid w:val="004F5C1B"/>
    <w:rsid w:val="005054B5"/>
    <w:rsid w:val="00505533"/>
    <w:rsid w:val="00506344"/>
    <w:rsid w:val="005148D7"/>
    <w:rsid w:val="00521069"/>
    <w:rsid w:val="005248EA"/>
    <w:rsid w:val="0052572D"/>
    <w:rsid w:val="005431C8"/>
    <w:rsid w:val="005463F4"/>
    <w:rsid w:val="00552BA8"/>
    <w:rsid w:val="0055409A"/>
    <w:rsid w:val="00563EEF"/>
    <w:rsid w:val="00572E90"/>
    <w:rsid w:val="00575EDA"/>
    <w:rsid w:val="00591B91"/>
    <w:rsid w:val="005952DC"/>
    <w:rsid w:val="005A00B7"/>
    <w:rsid w:val="005A1F0D"/>
    <w:rsid w:val="005A51EE"/>
    <w:rsid w:val="005B0445"/>
    <w:rsid w:val="005B0A4A"/>
    <w:rsid w:val="005B5412"/>
    <w:rsid w:val="005B679B"/>
    <w:rsid w:val="005B77D3"/>
    <w:rsid w:val="005C470B"/>
    <w:rsid w:val="005C66D3"/>
    <w:rsid w:val="005D245F"/>
    <w:rsid w:val="005D3061"/>
    <w:rsid w:val="005D6260"/>
    <w:rsid w:val="005D6D58"/>
    <w:rsid w:val="005E6A58"/>
    <w:rsid w:val="005F310F"/>
    <w:rsid w:val="00602B8A"/>
    <w:rsid w:val="0060314C"/>
    <w:rsid w:val="00612D63"/>
    <w:rsid w:val="00614B12"/>
    <w:rsid w:val="006150EC"/>
    <w:rsid w:val="006164DB"/>
    <w:rsid w:val="0061679D"/>
    <w:rsid w:val="006253D8"/>
    <w:rsid w:val="00626153"/>
    <w:rsid w:val="006374A1"/>
    <w:rsid w:val="00651B6C"/>
    <w:rsid w:val="006540CB"/>
    <w:rsid w:val="00660B2A"/>
    <w:rsid w:val="00663D84"/>
    <w:rsid w:val="00682553"/>
    <w:rsid w:val="0068515C"/>
    <w:rsid w:val="0068667C"/>
    <w:rsid w:val="006A26A0"/>
    <w:rsid w:val="006A4FDA"/>
    <w:rsid w:val="006B1C07"/>
    <w:rsid w:val="006B3DA5"/>
    <w:rsid w:val="006B5B25"/>
    <w:rsid w:val="006B7827"/>
    <w:rsid w:val="006D0172"/>
    <w:rsid w:val="006D18E1"/>
    <w:rsid w:val="006E1A3A"/>
    <w:rsid w:val="006E2230"/>
    <w:rsid w:val="006E2B9C"/>
    <w:rsid w:val="006E7E4C"/>
    <w:rsid w:val="006F02E3"/>
    <w:rsid w:val="006F1C64"/>
    <w:rsid w:val="006F3C19"/>
    <w:rsid w:val="00700438"/>
    <w:rsid w:val="007013C6"/>
    <w:rsid w:val="00715660"/>
    <w:rsid w:val="007328B9"/>
    <w:rsid w:val="007336B0"/>
    <w:rsid w:val="0073563C"/>
    <w:rsid w:val="00735ADA"/>
    <w:rsid w:val="00735D71"/>
    <w:rsid w:val="00736386"/>
    <w:rsid w:val="0074138A"/>
    <w:rsid w:val="00750940"/>
    <w:rsid w:val="00751AB4"/>
    <w:rsid w:val="0076269B"/>
    <w:rsid w:val="00764CF6"/>
    <w:rsid w:val="00765E00"/>
    <w:rsid w:val="00766131"/>
    <w:rsid w:val="0077005A"/>
    <w:rsid w:val="00772DB4"/>
    <w:rsid w:val="00780AAD"/>
    <w:rsid w:val="0078371A"/>
    <w:rsid w:val="00783A4C"/>
    <w:rsid w:val="0079250C"/>
    <w:rsid w:val="00794375"/>
    <w:rsid w:val="007A05BD"/>
    <w:rsid w:val="007A725D"/>
    <w:rsid w:val="007B4A0F"/>
    <w:rsid w:val="007C05CB"/>
    <w:rsid w:val="007C3153"/>
    <w:rsid w:val="007C7656"/>
    <w:rsid w:val="007D066F"/>
    <w:rsid w:val="007D1AE5"/>
    <w:rsid w:val="007D5A91"/>
    <w:rsid w:val="007E3441"/>
    <w:rsid w:val="007E460F"/>
    <w:rsid w:val="007E68C9"/>
    <w:rsid w:val="007E76F1"/>
    <w:rsid w:val="007F1DA0"/>
    <w:rsid w:val="00803F6B"/>
    <w:rsid w:val="00805901"/>
    <w:rsid w:val="00811B53"/>
    <w:rsid w:val="00816BAB"/>
    <w:rsid w:val="00817514"/>
    <w:rsid w:val="00825E03"/>
    <w:rsid w:val="00827ECC"/>
    <w:rsid w:val="0083106D"/>
    <w:rsid w:val="0083313F"/>
    <w:rsid w:val="00834D98"/>
    <w:rsid w:val="00835730"/>
    <w:rsid w:val="00835F23"/>
    <w:rsid w:val="0084210A"/>
    <w:rsid w:val="00845657"/>
    <w:rsid w:val="0084624C"/>
    <w:rsid w:val="00851C1D"/>
    <w:rsid w:val="00864E02"/>
    <w:rsid w:val="00874702"/>
    <w:rsid w:val="008775B4"/>
    <w:rsid w:val="008808A6"/>
    <w:rsid w:val="00884461"/>
    <w:rsid w:val="00885B69"/>
    <w:rsid w:val="008A159E"/>
    <w:rsid w:val="008A38E5"/>
    <w:rsid w:val="008A3F94"/>
    <w:rsid w:val="008A4B32"/>
    <w:rsid w:val="008A6037"/>
    <w:rsid w:val="008B2777"/>
    <w:rsid w:val="008B3519"/>
    <w:rsid w:val="008B4667"/>
    <w:rsid w:val="008B7085"/>
    <w:rsid w:val="008C0CBC"/>
    <w:rsid w:val="008C1602"/>
    <w:rsid w:val="008C1FFC"/>
    <w:rsid w:val="008D1AD8"/>
    <w:rsid w:val="008D2E7D"/>
    <w:rsid w:val="008D5FED"/>
    <w:rsid w:val="008E0B11"/>
    <w:rsid w:val="008E2734"/>
    <w:rsid w:val="008F35F1"/>
    <w:rsid w:val="008F3FB1"/>
    <w:rsid w:val="009008F4"/>
    <w:rsid w:val="00901A1A"/>
    <w:rsid w:val="009020BF"/>
    <w:rsid w:val="00905BB4"/>
    <w:rsid w:val="00907813"/>
    <w:rsid w:val="00911B9D"/>
    <w:rsid w:val="009142F4"/>
    <w:rsid w:val="00921C07"/>
    <w:rsid w:val="00930A10"/>
    <w:rsid w:val="0093199F"/>
    <w:rsid w:val="00932958"/>
    <w:rsid w:val="00947CC7"/>
    <w:rsid w:val="00951519"/>
    <w:rsid w:val="009535AF"/>
    <w:rsid w:val="0096301A"/>
    <w:rsid w:val="00964D6C"/>
    <w:rsid w:val="00965133"/>
    <w:rsid w:val="00965E0F"/>
    <w:rsid w:val="00971AD3"/>
    <w:rsid w:val="00980F62"/>
    <w:rsid w:val="00981123"/>
    <w:rsid w:val="00982629"/>
    <w:rsid w:val="0098468C"/>
    <w:rsid w:val="0098667C"/>
    <w:rsid w:val="009907B9"/>
    <w:rsid w:val="00992351"/>
    <w:rsid w:val="009A08B6"/>
    <w:rsid w:val="009A2377"/>
    <w:rsid w:val="009A4D11"/>
    <w:rsid w:val="009B3ED3"/>
    <w:rsid w:val="009B4ADC"/>
    <w:rsid w:val="009C1730"/>
    <w:rsid w:val="009D6232"/>
    <w:rsid w:val="009E15D4"/>
    <w:rsid w:val="009F25BD"/>
    <w:rsid w:val="009F3C7E"/>
    <w:rsid w:val="009F5646"/>
    <w:rsid w:val="009F7873"/>
    <w:rsid w:val="009F7979"/>
    <w:rsid w:val="009F7AE7"/>
    <w:rsid w:val="00A03FA7"/>
    <w:rsid w:val="00A06395"/>
    <w:rsid w:val="00A06AEF"/>
    <w:rsid w:val="00A10700"/>
    <w:rsid w:val="00A14D49"/>
    <w:rsid w:val="00A15184"/>
    <w:rsid w:val="00A1637D"/>
    <w:rsid w:val="00A2566B"/>
    <w:rsid w:val="00A32086"/>
    <w:rsid w:val="00A34E84"/>
    <w:rsid w:val="00A352B0"/>
    <w:rsid w:val="00A37886"/>
    <w:rsid w:val="00A472C6"/>
    <w:rsid w:val="00A51E78"/>
    <w:rsid w:val="00A570A1"/>
    <w:rsid w:val="00A60974"/>
    <w:rsid w:val="00A61DCD"/>
    <w:rsid w:val="00A65535"/>
    <w:rsid w:val="00A724CF"/>
    <w:rsid w:val="00A7532F"/>
    <w:rsid w:val="00A761CF"/>
    <w:rsid w:val="00A81682"/>
    <w:rsid w:val="00A84D92"/>
    <w:rsid w:val="00A84E65"/>
    <w:rsid w:val="00A95B6C"/>
    <w:rsid w:val="00AA7480"/>
    <w:rsid w:val="00AB1481"/>
    <w:rsid w:val="00AB2ABB"/>
    <w:rsid w:val="00AB5C67"/>
    <w:rsid w:val="00AB7C98"/>
    <w:rsid w:val="00AC47D9"/>
    <w:rsid w:val="00AD0DA1"/>
    <w:rsid w:val="00AE0209"/>
    <w:rsid w:val="00AE2095"/>
    <w:rsid w:val="00AE5322"/>
    <w:rsid w:val="00AE5FEF"/>
    <w:rsid w:val="00AE73E2"/>
    <w:rsid w:val="00AF1CF9"/>
    <w:rsid w:val="00AF2AE3"/>
    <w:rsid w:val="00AF7C58"/>
    <w:rsid w:val="00B05787"/>
    <w:rsid w:val="00B15323"/>
    <w:rsid w:val="00B259AC"/>
    <w:rsid w:val="00B268D9"/>
    <w:rsid w:val="00B26EC9"/>
    <w:rsid w:val="00B31B8F"/>
    <w:rsid w:val="00B333B0"/>
    <w:rsid w:val="00B43561"/>
    <w:rsid w:val="00B440DB"/>
    <w:rsid w:val="00B4415D"/>
    <w:rsid w:val="00B45103"/>
    <w:rsid w:val="00B45D24"/>
    <w:rsid w:val="00B52992"/>
    <w:rsid w:val="00B538C6"/>
    <w:rsid w:val="00B62018"/>
    <w:rsid w:val="00B63114"/>
    <w:rsid w:val="00B64A22"/>
    <w:rsid w:val="00B67D14"/>
    <w:rsid w:val="00B700C3"/>
    <w:rsid w:val="00B8042D"/>
    <w:rsid w:val="00B810FF"/>
    <w:rsid w:val="00B8418B"/>
    <w:rsid w:val="00B84519"/>
    <w:rsid w:val="00B87463"/>
    <w:rsid w:val="00B91E5C"/>
    <w:rsid w:val="00BA00E2"/>
    <w:rsid w:val="00BA4255"/>
    <w:rsid w:val="00BA4F5A"/>
    <w:rsid w:val="00BA7BBA"/>
    <w:rsid w:val="00BB3DE5"/>
    <w:rsid w:val="00BB4394"/>
    <w:rsid w:val="00BB5ABD"/>
    <w:rsid w:val="00BC1BA9"/>
    <w:rsid w:val="00BC41E1"/>
    <w:rsid w:val="00BD2FC7"/>
    <w:rsid w:val="00BD6EC1"/>
    <w:rsid w:val="00BE25AF"/>
    <w:rsid w:val="00BE3F11"/>
    <w:rsid w:val="00BF3FBF"/>
    <w:rsid w:val="00C01D14"/>
    <w:rsid w:val="00C04DD5"/>
    <w:rsid w:val="00C073D6"/>
    <w:rsid w:val="00C07645"/>
    <w:rsid w:val="00C12785"/>
    <w:rsid w:val="00C14D2D"/>
    <w:rsid w:val="00C15327"/>
    <w:rsid w:val="00C205DD"/>
    <w:rsid w:val="00C242B2"/>
    <w:rsid w:val="00C25F74"/>
    <w:rsid w:val="00C31FE6"/>
    <w:rsid w:val="00C35546"/>
    <w:rsid w:val="00C4092D"/>
    <w:rsid w:val="00C4278B"/>
    <w:rsid w:val="00C43BD2"/>
    <w:rsid w:val="00C44F90"/>
    <w:rsid w:val="00C47E9C"/>
    <w:rsid w:val="00C52FD7"/>
    <w:rsid w:val="00C57277"/>
    <w:rsid w:val="00C616E4"/>
    <w:rsid w:val="00C648E2"/>
    <w:rsid w:val="00C6603B"/>
    <w:rsid w:val="00C71E3F"/>
    <w:rsid w:val="00C75A4D"/>
    <w:rsid w:val="00C75CE4"/>
    <w:rsid w:val="00C8367C"/>
    <w:rsid w:val="00C83EC8"/>
    <w:rsid w:val="00C84EC9"/>
    <w:rsid w:val="00C90645"/>
    <w:rsid w:val="00C92A41"/>
    <w:rsid w:val="00C95E0F"/>
    <w:rsid w:val="00CA3BAD"/>
    <w:rsid w:val="00CB1858"/>
    <w:rsid w:val="00CC0087"/>
    <w:rsid w:val="00CD0085"/>
    <w:rsid w:val="00CE1BDC"/>
    <w:rsid w:val="00CF3E52"/>
    <w:rsid w:val="00D00043"/>
    <w:rsid w:val="00D003BE"/>
    <w:rsid w:val="00D03468"/>
    <w:rsid w:val="00D03E18"/>
    <w:rsid w:val="00D06094"/>
    <w:rsid w:val="00D110CC"/>
    <w:rsid w:val="00D1310A"/>
    <w:rsid w:val="00D165B0"/>
    <w:rsid w:val="00D249EC"/>
    <w:rsid w:val="00D30CFE"/>
    <w:rsid w:val="00D314BC"/>
    <w:rsid w:val="00D319FC"/>
    <w:rsid w:val="00D37964"/>
    <w:rsid w:val="00D40468"/>
    <w:rsid w:val="00D41BD8"/>
    <w:rsid w:val="00D45FD5"/>
    <w:rsid w:val="00D501E4"/>
    <w:rsid w:val="00D51F3A"/>
    <w:rsid w:val="00D6213F"/>
    <w:rsid w:val="00D62340"/>
    <w:rsid w:val="00D63F18"/>
    <w:rsid w:val="00D6527D"/>
    <w:rsid w:val="00D6795D"/>
    <w:rsid w:val="00D729EC"/>
    <w:rsid w:val="00D74B92"/>
    <w:rsid w:val="00D83A9A"/>
    <w:rsid w:val="00D841C1"/>
    <w:rsid w:val="00D93010"/>
    <w:rsid w:val="00D946E9"/>
    <w:rsid w:val="00D9604F"/>
    <w:rsid w:val="00D9737C"/>
    <w:rsid w:val="00DA76AC"/>
    <w:rsid w:val="00DB3D0C"/>
    <w:rsid w:val="00DB4D49"/>
    <w:rsid w:val="00DB767D"/>
    <w:rsid w:val="00DC07E5"/>
    <w:rsid w:val="00DC395D"/>
    <w:rsid w:val="00DC634D"/>
    <w:rsid w:val="00DD0FFA"/>
    <w:rsid w:val="00DD202C"/>
    <w:rsid w:val="00DD3863"/>
    <w:rsid w:val="00DE5376"/>
    <w:rsid w:val="00DE60D1"/>
    <w:rsid w:val="00DF050A"/>
    <w:rsid w:val="00DF59BD"/>
    <w:rsid w:val="00DF6FC3"/>
    <w:rsid w:val="00DF751A"/>
    <w:rsid w:val="00DF7A31"/>
    <w:rsid w:val="00E05A1C"/>
    <w:rsid w:val="00E07333"/>
    <w:rsid w:val="00E129EE"/>
    <w:rsid w:val="00E12BAD"/>
    <w:rsid w:val="00E13411"/>
    <w:rsid w:val="00E14AC6"/>
    <w:rsid w:val="00E30F62"/>
    <w:rsid w:val="00E36ECE"/>
    <w:rsid w:val="00E46B69"/>
    <w:rsid w:val="00E573AC"/>
    <w:rsid w:val="00E57B94"/>
    <w:rsid w:val="00E62839"/>
    <w:rsid w:val="00E62E85"/>
    <w:rsid w:val="00E64EE1"/>
    <w:rsid w:val="00E65C1E"/>
    <w:rsid w:val="00E75F13"/>
    <w:rsid w:val="00E76022"/>
    <w:rsid w:val="00E83456"/>
    <w:rsid w:val="00EA25E4"/>
    <w:rsid w:val="00EA3E87"/>
    <w:rsid w:val="00EA7A22"/>
    <w:rsid w:val="00EA7DE2"/>
    <w:rsid w:val="00EB004F"/>
    <w:rsid w:val="00EB6AC3"/>
    <w:rsid w:val="00EC6D59"/>
    <w:rsid w:val="00EC703C"/>
    <w:rsid w:val="00ED0777"/>
    <w:rsid w:val="00ED2DE0"/>
    <w:rsid w:val="00ED6645"/>
    <w:rsid w:val="00ED6F4E"/>
    <w:rsid w:val="00EE37EE"/>
    <w:rsid w:val="00EE6EB1"/>
    <w:rsid w:val="00EF43D5"/>
    <w:rsid w:val="00EF4E23"/>
    <w:rsid w:val="00EF691D"/>
    <w:rsid w:val="00F0000C"/>
    <w:rsid w:val="00F002E5"/>
    <w:rsid w:val="00F03838"/>
    <w:rsid w:val="00F03945"/>
    <w:rsid w:val="00F04C86"/>
    <w:rsid w:val="00F0598E"/>
    <w:rsid w:val="00F11D4E"/>
    <w:rsid w:val="00F12CC8"/>
    <w:rsid w:val="00F20765"/>
    <w:rsid w:val="00F20D44"/>
    <w:rsid w:val="00F238CE"/>
    <w:rsid w:val="00F24EE1"/>
    <w:rsid w:val="00F36445"/>
    <w:rsid w:val="00F37D41"/>
    <w:rsid w:val="00F412D7"/>
    <w:rsid w:val="00F43996"/>
    <w:rsid w:val="00F45AD5"/>
    <w:rsid w:val="00F45F72"/>
    <w:rsid w:val="00F47184"/>
    <w:rsid w:val="00F51398"/>
    <w:rsid w:val="00F521B6"/>
    <w:rsid w:val="00F53C1F"/>
    <w:rsid w:val="00F53D7D"/>
    <w:rsid w:val="00F54201"/>
    <w:rsid w:val="00F5464F"/>
    <w:rsid w:val="00F6446E"/>
    <w:rsid w:val="00F64A92"/>
    <w:rsid w:val="00F657F3"/>
    <w:rsid w:val="00F80BF6"/>
    <w:rsid w:val="00F81802"/>
    <w:rsid w:val="00F82819"/>
    <w:rsid w:val="00F8452D"/>
    <w:rsid w:val="00F95BCB"/>
    <w:rsid w:val="00F96634"/>
    <w:rsid w:val="00F96A5C"/>
    <w:rsid w:val="00FA1FBC"/>
    <w:rsid w:val="00FA2C97"/>
    <w:rsid w:val="00FA2FC5"/>
    <w:rsid w:val="00FB35BE"/>
    <w:rsid w:val="00FC43B8"/>
    <w:rsid w:val="00FC4E58"/>
    <w:rsid w:val="00FC51C4"/>
    <w:rsid w:val="00FC7004"/>
    <w:rsid w:val="00FD06A0"/>
    <w:rsid w:val="00FD13FB"/>
    <w:rsid w:val="00FD228E"/>
    <w:rsid w:val="00FD4E9B"/>
    <w:rsid w:val="00FD7D5F"/>
    <w:rsid w:val="00FE1A2F"/>
    <w:rsid w:val="00FE5F50"/>
    <w:rsid w:val="00FF1B25"/>
    <w:rsid w:val="00FF7A85"/>
    <w:rsid w:val="01126F97"/>
    <w:rsid w:val="022072B7"/>
    <w:rsid w:val="13505981"/>
    <w:rsid w:val="1844442E"/>
    <w:rsid w:val="253B015C"/>
    <w:rsid w:val="29A078B9"/>
    <w:rsid w:val="31470AFE"/>
    <w:rsid w:val="40327977"/>
    <w:rsid w:val="601B5096"/>
    <w:rsid w:val="6A84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Body Text"/>
    <w:basedOn w:val="1"/>
    <w:unhideWhenUsed/>
    <w:qFormat/>
    <w:uiPriority w:val="0"/>
    <w:pPr>
      <w:spacing w:before="93" w:beforeLines="30"/>
    </w:pPr>
    <w:rPr>
      <w:rFonts w:ascii="仿宋_GB2312" w:eastAsia="仿宋_GB2312"/>
      <w:sz w:val="30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semiHidden/>
    <w:qFormat/>
    <w:uiPriority w:val="0"/>
    <w:rPr>
      <w:b/>
      <w:bCs/>
    </w:rPr>
  </w:style>
  <w:style w:type="character" w:styleId="10">
    <w:name w:val="annotation reference"/>
    <w:semiHidden/>
    <w:qFormat/>
    <w:uiPriority w:val="0"/>
    <w:rPr>
      <w:sz w:val="21"/>
      <w:szCs w:val="21"/>
    </w:rPr>
  </w:style>
  <w:style w:type="paragraph" w:customStyle="1" w:styleId="1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zhlx</Company>
  <Pages>4</Pages>
  <Words>178</Words>
  <Characters>1020</Characters>
  <Lines>8</Lines>
  <Paragraphs>2</Paragraphs>
  <TotalTime>0</TotalTime>
  <ScaleCrop>false</ScaleCrop>
  <LinksUpToDate>false</LinksUpToDate>
  <CharactersWithSpaces>1196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2018-02-05T00:37:00Z</dcterms:created>
  <dc:creator>lx</dc:creator>
  <dc:description>ZHGenApp().GetProperty("Certification")</dc:description>
  <cp:lastModifiedBy>Administrator</cp:lastModifiedBy>
  <cp:lastPrinted>2018-01-31T03:32:00Z</cp:lastPrinted>
  <dcterms:modified xsi:type="dcterms:W3CDTF">2023-09-05T01:19:16Z</dcterms:modified>
  <dc:title>年部门预算编制说明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8345604D3A014602B6B17C10FE10488B</vt:lpwstr>
  </property>
</Properties>
</file>